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nuTENSA Treatment Protocols</w:t>
      </w:r>
      <w:r w:rsidDel="00000000" w:rsidR="00000000" w:rsidRPr="00000000">
        <w:rPr>
          <w:color w:val="07376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How it Works</w:t>
      </w:r>
      <w:r w:rsidDel="00000000" w:rsidR="00000000" w:rsidRPr="00000000">
        <w:rPr>
          <w:color w:val="073763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The device uses RF (radio frequency) to improve skin firmness and elasticity. On a deeper level it can be used to help alleviate pain due to sports injury.</w:t>
      </w:r>
    </w:p>
    <w:p w:rsidR="00000000" w:rsidDel="00000000" w:rsidP="00000000" w:rsidRDefault="00000000" w:rsidRPr="00000000" w14:paraId="00000006">
      <w:pPr>
        <w:rPr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Immediate Results: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Dermis:</w:t>
      </w:r>
      <w:r w:rsidDel="00000000" w:rsidR="00000000" w:rsidRPr="00000000">
        <w:rPr>
          <w:color w:val="073763"/>
          <w:sz w:val="26"/>
          <w:szCs w:val="26"/>
          <w:rtl w:val="0"/>
        </w:rPr>
        <w:t xml:space="preserve"> Direct contraction leads to tightening.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Fibrous Septum:</w:t>
      </w:r>
      <w:r w:rsidDel="00000000" w:rsidR="00000000" w:rsidRPr="00000000">
        <w:rPr>
          <w:color w:val="073763"/>
          <w:sz w:val="26"/>
          <w:szCs w:val="26"/>
          <w:rtl w:val="0"/>
        </w:rPr>
        <w:t xml:space="preserve"> Contraction facilitates reshaping.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Long-Term Results (Secondary Wound Healing Response):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240" w:before="240" w:lineRule="auto"/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Collagen deposition, remodeling, and shaping occur gradually over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Treatment Indications: 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Skin Tightening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Collagen Stimulation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Wrinkle reduction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Fat loss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Weight loss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Pain rehabilitation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Sports Injury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Contraindications: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Patients with acute inflammation, deep vein thrombosis, cancer, or similar medical conditions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Metal implants in treatment area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Epilepsy or seizure history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Skin conditions in treatments area such as: Ezema, Open Wounds, Active Infection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Treatment on Abdomen with Presence of Hernia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Individuals with numbness or inability to sense heat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Pregnancy or lactating</w:t>
      </w:r>
    </w:p>
    <w:p w:rsidR="00000000" w:rsidDel="00000000" w:rsidP="00000000" w:rsidRDefault="00000000" w:rsidRPr="00000000" w14:paraId="0000001E">
      <w:pPr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Client Preparation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Avoid heavy meals 1 hour prior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Hydrate well before and after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Remove metal jewelry and/or electronic devices such as: Apple Watch/ Garmin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Take pre-treatment photos or run body analysis on nuSCALE</w:t>
      </w:r>
    </w:p>
    <w:p w:rsidR="00000000" w:rsidDel="00000000" w:rsidP="00000000" w:rsidRDefault="00000000" w:rsidRPr="00000000" w14:paraId="00000024">
      <w:pPr>
        <w:ind w:left="720" w:firstLine="0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i w:val="1"/>
          <w:iCs w:val="1"/>
          <w:color w:val="073763"/>
          <w:sz w:val="34"/>
          <w:szCs w:val="34"/>
        </w:rPr>
      </w:pPr>
      <w:r w:rsidDel="00000000" w:rsidR="00000000" w:rsidRPr="00000000">
        <w:rPr>
          <w:color w:val="073763"/>
          <w:sz w:val="34"/>
          <w:szCs w:val="34"/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color w:val="073763"/>
          <w:sz w:val="34"/>
          <w:szCs w:val="34"/>
          <w:rtl w:val="0"/>
        </w:rPr>
        <w:t xml:space="preserve">RF Cream is the conductor to be used for treatment*</w:t>
      </w:r>
    </w:p>
    <w:p w:rsidR="00000000" w:rsidDel="00000000" w:rsidP="00000000" w:rsidRDefault="00000000" w:rsidRPr="00000000" w14:paraId="00000026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IMPORTANT:  YOU MUST USE A GROUNDING PLATE FOR CET AND RET.</w:t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YOU MUST STOP TREATMENT WHEN ANSWERING THE PHONE.</w:t>
      </w:r>
    </w:p>
    <w:p w:rsidR="00000000" w:rsidDel="00000000" w:rsidP="00000000" w:rsidRDefault="00000000" w:rsidRPr="00000000" w14:paraId="00000029">
      <w:pPr>
        <w:rPr>
          <w:b w:val="1"/>
          <w:bCs w:val="1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73763"/>
          <w:sz w:val="22"/>
          <w:szCs w:val="22"/>
        </w:rPr>
      </w:pPr>
      <w:bookmarkStart w:colFirst="0" w:colLast="0" w:name="_3uts10ftefa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73763"/>
          <w:sz w:val="22"/>
          <w:szCs w:val="22"/>
        </w:rPr>
      </w:pPr>
      <w:bookmarkStart w:colFirst="0" w:colLast="0" w:name="_x9aiy6ohvcd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73763"/>
          <w:sz w:val="28"/>
          <w:szCs w:val="28"/>
        </w:rPr>
      </w:pPr>
      <w:bookmarkStart w:colFirst="0" w:colLast="0" w:name="_45vcl31k62c" w:id="2"/>
      <w:bookmarkEnd w:id="2"/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Treatment Parameters (Standard Protocols)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755"/>
        <w:gridCol w:w="2325"/>
        <w:gridCol w:w="1575"/>
        <w:gridCol w:w="1950"/>
        <w:tblGridChange w:id="0">
          <w:tblGrid>
            <w:gridCol w:w="1755"/>
            <w:gridCol w:w="1755"/>
            <w:gridCol w:w="2325"/>
            <w:gridCol w:w="1575"/>
            <w:gridCol w:w="195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73763"/>
                <w:sz w:val="26"/>
                <w:szCs w:val="26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73763"/>
                <w:sz w:val="26"/>
                <w:szCs w:val="26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73763"/>
                <w:sz w:val="26"/>
                <w:szCs w:val="26"/>
                <w:rtl w:val="0"/>
              </w:rPr>
              <w:t xml:space="preserve">Intensity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73763"/>
                <w:sz w:val="26"/>
                <w:szCs w:val="26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73763"/>
                <w:sz w:val="26"/>
                <w:szCs w:val="26"/>
                <w:rtl w:val="0"/>
              </w:rPr>
              <w:t xml:space="preserve">Number of Sessions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Abs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30-45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Moderate to High (50-60%)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1x/week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8 sessions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Glutes/ Hamstrings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30-45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Moderate to High (50-60%)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1x/week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8 sessions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Quads/ Inner Thigh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30-45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Moderate (45-55 %)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1x/week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8 sessions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Arms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30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Low to Moderate (30-50%)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1x/week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8 sessions</w:t>
            </w:r>
          </w:p>
          <w:p w:rsidR="00000000" w:rsidDel="00000000" w:rsidP="00000000" w:rsidRDefault="00000000" w:rsidRPr="00000000" w14:paraId="00000046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Face/Neck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20-30 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Low to Moderate (30-50 %)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1x/week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color w:val="073763"/>
                <w:sz w:val="26"/>
                <w:szCs w:val="26"/>
                <w:rtl w:val="0"/>
              </w:rPr>
              <w:t xml:space="preserve">8 sessions</w:t>
            </w:r>
          </w:p>
        </w:tc>
      </w:tr>
    </w:tbl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The duration of the session will start counting after you have reached the correct temperature for that particular client. This may vary and can take 2- 5 mins. 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Adjust intensity based on client tolerance. Always start lower and gradually increase.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b w:val="1"/>
          <w:bCs w:val="1"/>
          <w:color w:val="073763"/>
          <w:sz w:val="26"/>
          <w:szCs w:val="26"/>
          <w:rtl w:val="0"/>
        </w:rPr>
        <w:t xml:space="preserve">You may also choose to treat 8 sessions in the format of 1x/week for the first 4 weeks, then 2x/week for the next 2 weeks.</w:t>
      </w:r>
    </w:p>
    <w:p w:rsidR="00000000" w:rsidDel="00000000" w:rsidP="00000000" w:rsidRDefault="00000000" w:rsidRPr="00000000" w14:paraId="0000004F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color w:val="073763"/>
          <w:sz w:val="28"/>
          <w:szCs w:val="28"/>
        </w:rPr>
      </w:pPr>
      <w:r w:rsidDel="00000000" w:rsidR="00000000" w:rsidRPr="00000000">
        <w:rPr>
          <w:b w:val="1"/>
          <w:bCs w:val="1"/>
          <w:color w:val="073763"/>
          <w:sz w:val="28"/>
          <w:szCs w:val="28"/>
          <w:rtl w:val="0"/>
        </w:rPr>
        <w:t xml:space="preserve">Post- Treatment Care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Encourage hydration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Mild soreness is normal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Space sessions 7-10 days apart to allow for body to recover and begin the natural process of excretion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Every 3rd session redo body analysis on nuSCALE</w:t>
      </w:r>
    </w:p>
    <w:p w:rsidR="00000000" w:rsidDel="00000000" w:rsidP="00000000" w:rsidRDefault="00000000" w:rsidRPr="00000000" w14:paraId="00000057">
      <w:pPr>
        <w:ind w:left="720" w:firstLine="0"/>
        <w:rPr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color w:val="073763"/>
          <w:sz w:val="26"/>
          <w:szCs w:val="26"/>
          <w:rtl w:val="0"/>
        </w:rPr>
        <w:t xml:space="preserve">Recommendation: Maintenance treatments should be every 2-3 months per indication.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b w:val="1"/>
          <w:bCs w:val="1"/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-342899</wp:posOffset>
              </wp:positionV>
              <wp:extent cx="7734300" cy="2136055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56700" y="1159975"/>
                        <a:ext cx="7734300" cy="2136055"/>
                        <a:chOff x="356700" y="1159975"/>
                        <a:chExt cx="8263175" cy="227395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361500" y="1164750"/>
                          <a:ext cx="8253600" cy="1676700"/>
                        </a:xfrm>
                        <a:prstGeom prst="rect">
                          <a:avLst/>
                        </a:prstGeom>
                        <a:solidFill>
                          <a:srgbClr val="666666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421725" y="1375625"/>
                          <a:ext cx="8052900" cy="1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06"/>
                                <w:vertAlign w:val="baseline"/>
                              </w:rPr>
                              <w:t xml:space="preserve">      World Aesthetix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  <pic:pic>
                      <pic:nvPicPr>
                        <pic:cNvPr id="4" name="Shape 4" title="World Aesthetix Logo 3.png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4600" y="1200712"/>
                          <a:ext cx="1604777" cy="160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cNvPr id="5" name="Shape 5"/>
                      <wps:spPr>
                        <a:xfrm>
                          <a:off x="361475" y="2851650"/>
                          <a:ext cx="8253600" cy="577500"/>
                        </a:xfrm>
                        <a:prstGeom prst="rect">
                          <a:avLst/>
                        </a:prstGeom>
                        <a:solidFill>
                          <a:srgbClr val="07376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4"/>
                                <w:vertAlign w:val="baseline"/>
                              </w:rPr>
                              <w:t xml:space="preserve">nuTENSA Protocol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-342899</wp:posOffset>
              </wp:positionV>
              <wp:extent cx="7734300" cy="2136055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34300" cy="2136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